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251" w14:textId="77777777" w:rsidR="00816B6D" w:rsidRDefault="00CF5620" w:rsidP="00CF5620">
      <w:pPr>
        <w:spacing w:before="60"/>
        <w:ind w:left="142" w:right="278"/>
        <w:jc w:val="center"/>
        <w:rPr>
          <w:rFonts w:ascii="Titillium" w:hAnsi="Titillium"/>
          <w:b/>
          <w:bCs/>
          <w:sz w:val="28"/>
          <w:szCs w:val="28"/>
        </w:rPr>
      </w:pPr>
      <w:r w:rsidRPr="00CF5620">
        <w:rPr>
          <w:rFonts w:ascii="Titillium" w:hAnsi="Titillium"/>
          <w:b/>
          <w:bCs/>
          <w:sz w:val="28"/>
          <w:szCs w:val="28"/>
        </w:rPr>
        <w:t xml:space="preserve">MODELE DE DELIBERATION </w:t>
      </w:r>
    </w:p>
    <w:p w14:paraId="11D4F629" w14:textId="42D509AE" w:rsidR="00CF5620" w:rsidRPr="00CF5620" w:rsidRDefault="00816B6D" w:rsidP="00CF5620">
      <w:pPr>
        <w:spacing w:before="60"/>
        <w:ind w:left="142" w:right="278"/>
        <w:jc w:val="center"/>
        <w:rPr>
          <w:rFonts w:ascii="Titillium" w:hAnsi="Titillium"/>
          <w:b/>
          <w:bCs/>
          <w:sz w:val="28"/>
          <w:szCs w:val="28"/>
        </w:rPr>
      </w:pPr>
      <w:r>
        <w:rPr>
          <w:rFonts w:ascii="Titillium" w:hAnsi="Titillium"/>
          <w:b/>
          <w:bCs/>
          <w:sz w:val="28"/>
          <w:szCs w:val="28"/>
        </w:rPr>
        <w:t xml:space="preserve">ACCORD </w:t>
      </w:r>
      <w:r w:rsidR="00CF5620" w:rsidRPr="00CF5620">
        <w:rPr>
          <w:rFonts w:ascii="Titillium" w:hAnsi="Titillium"/>
          <w:b/>
          <w:bCs/>
          <w:sz w:val="28"/>
          <w:szCs w:val="28"/>
        </w:rPr>
        <w:t>DE PRINCIPE POUR L’</w:t>
      </w:r>
      <w:r>
        <w:rPr>
          <w:rFonts w:ascii="Titillium" w:hAnsi="Titillium"/>
          <w:b/>
          <w:bCs/>
          <w:sz w:val="28"/>
          <w:szCs w:val="28"/>
        </w:rPr>
        <w:t>EXTINCTION</w:t>
      </w:r>
      <w:r w:rsidR="00CF5620" w:rsidRPr="00CF5620">
        <w:rPr>
          <w:rFonts w:ascii="Titillium" w:hAnsi="Titillium"/>
          <w:b/>
          <w:bCs/>
          <w:sz w:val="28"/>
          <w:szCs w:val="28"/>
        </w:rPr>
        <w:t xml:space="preserve"> DE L’ECLAIRAGE PUBLIC</w:t>
      </w:r>
    </w:p>
    <w:p w14:paraId="31F4394B" w14:textId="77777777" w:rsidR="00CF5620" w:rsidRPr="00BB1127" w:rsidRDefault="00CF5620" w:rsidP="00CF5620">
      <w:pPr>
        <w:ind w:left="142" w:right="278"/>
        <w:rPr>
          <w:rFonts w:ascii="Titillium" w:hAnsi="Titillium"/>
          <w:sz w:val="10"/>
          <w:szCs w:val="10"/>
        </w:rPr>
      </w:pPr>
    </w:p>
    <w:p w14:paraId="3972F263" w14:textId="77777777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13FC1E15" w14:textId="31750E2D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72AD9BE7" w14:textId="2A6A9005" w:rsidR="00CF5620" w:rsidRPr="00CF5620" w:rsidRDefault="00CF5620" w:rsidP="00CF5620">
      <w:pPr>
        <w:ind w:left="142" w:right="278"/>
        <w:jc w:val="both"/>
        <w:rPr>
          <w:rFonts w:ascii="Titillium" w:hAnsi="Titillium"/>
          <w:b/>
          <w:bCs/>
          <w:sz w:val="20"/>
          <w:szCs w:val="20"/>
        </w:rPr>
      </w:pPr>
      <w:r w:rsidRPr="00CF5620">
        <w:rPr>
          <w:rFonts w:ascii="Titillium" w:hAnsi="Titillium"/>
          <w:b/>
          <w:bCs/>
          <w:sz w:val="20"/>
          <w:szCs w:val="20"/>
        </w:rPr>
        <w:t>Objet</w:t>
      </w:r>
      <w:r w:rsidRPr="00CF5620">
        <w:rPr>
          <w:rFonts w:ascii="Calibri" w:hAnsi="Calibri" w:cs="Calibri"/>
          <w:b/>
          <w:bCs/>
          <w:sz w:val="20"/>
          <w:szCs w:val="20"/>
        </w:rPr>
        <w:t> </w:t>
      </w:r>
      <w:r w:rsidRPr="00CF5620">
        <w:rPr>
          <w:rFonts w:ascii="Titillium" w:hAnsi="Titillium"/>
          <w:b/>
          <w:bCs/>
          <w:sz w:val="20"/>
          <w:szCs w:val="20"/>
        </w:rPr>
        <w:t>: extinction de l’éclair</w:t>
      </w:r>
      <w:r>
        <w:rPr>
          <w:rFonts w:ascii="Titillium" w:hAnsi="Titillium"/>
          <w:b/>
          <w:bCs/>
          <w:sz w:val="20"/>
          <w:szCs w:val="20"/>
        </w:rPr>
        <w:t>age</w:t>
      </w:r>
      <w:r w:rsidRPr="00CF5620">
        <w:rPr>
          <w:rFonts w:ascii="Titillium" w:hAnsi="Titillium"/>
          <w:b/>
          <w:bCs/>
          <w:sz w:val="20"/>
          <w:szCs w:val="20"/>
        </w:rPr>
        <w:t xml:space="preserve"> public </w:t>
      </w:r>
      <w:r>
        <w:rPr>
          <w:rFonts w:ascii="Titillium" w:hAnsi="Titillium"/>
          <w:b/>
          <w:bCs/>
          <w:sz w:val="20"/>
          <w:szCs w:val="20"/>
        </w:rPr>
        <w:t>s</w:t>
      </w:r>
      <w:r w:rsidRPr="00CF5620">
        <w:rPr>
          <w:rFonts w:ascii="Titillium" w:hAnsi="Titillium"/>
          <w:b/>
          <w:bCs/>
          <w:sz w:val="20"/>
          <w:szCs w:val="20"/>
        </w:rPr>
        <w:t xml:space="preserve">ur le territoire communal </w:t>
      </w:r>
    </w:p>
    <w:p w14:paraId="1AA06D4E" w14:textId="77777777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13528234" w14:textId="499F168A" w:rsidR="00CF5620" w:rsidRDefault="00816B6D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De nombreuses collectivités s’interrogent </w:t>
      </w:r>
      <w:r w:rsidR="00CF5620">
        <w:rPr>
          <w:rFonts w:ascii="Titillium" w:hAnsi="Titillium"/>
          <w:sz w:val="20"/>
          <w:szCs w:val="20"/>
        </w:rPr>
        <w:t>sur la pertinence et les possibilités de procéder à un</w:t>
      </w:r>
      <w:r w:rsidR="00207479">
        <w:rPr>
          <w:rFonts w:ascii="Titillium" w:hAnsi="Titillium"/>
          <w:sz w:val="20"/>
          <w:szCs w:val="20"/>
        </w:rPr>
        <w:t>e</w:t>
      </w:r>
      <w:r w:rsidR="00CF5620">
        <w:rPr>
          <w:rFonts w:ascii="Titillium" w:hAnsi="Titillium"/>
          <w:sz w:val="20"/>
          <w:szCs w:val="20"/>
        </w:rPr>
        <w:t xml:space="preserve"> extinction nocturne de l’éclairage public. Outre la réduction de la facture de consommation d’électricité, cette action contribue également à la préservation de </w:t>
      </w:r>
      <w:r>
        <w:rPr>
          <w:rFonts w:ascii="Titillium" w:hAnsi="Titillium"/>
          <w:sz w:val="20"/>
          <w:szCs w:val="20"/>
        </w:rPr>
        <w:t>la biodiversité à travers</w:t>
      </w:r>
      <w:r w:rsidR="00CF5620">
        <w:rPr>
          <w:rFonts w:ascii="Titillium" w:hAnsi="Titillium"/>
          <w:sz w:val="20"/>
          <w:szCs w:val="20"/>
        </w:rPr>
        <w:t xml:space="preserve"> la lutte contre les nuisances lumineuses. </w:t>
      </w:r>
    </w:p>
    <w:p w14:paraId="1610F87F" w14:textId="77777777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5F59BB5D" w14:textId="3CFC11B5" w:rsidR="00CF5620" w:rsidRDefault="00816B6D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 cet égard, il est rappelé que l</w:t>
      </w:r>
      <w:r w:rsidR="00CF5620">
        <w:rPr>
          <w:rFonts w:ascii="Titillium" w:hAnsi="Titillium"/>
          <w:sz w:val="20"/>
          <w:szCs w:val="20"/>
        </w:rPr>
        <w:t xml:space="preserve">es modalités de fonctionnement de l’éclairage public relèvent du pouvoir de police du maire, </w:t>
      </w:r>
      <w:r>
        <w:rPr>
          <w:rFonts w:ascii="Titillium" w:hAnsi="Titillium"/>
          <w:sz w:val="20"/>
          <w:szCs w:val="20"/>
        </w:rPr>
        <w:t>lequel</w:t>
      </w:r>
      <w:r w:rsidR="00CF5620">
        <w:rPr>
          <w:rFonts w:ascii="Titillium" w:hAnsi="Titillium"/>
          <w:sz w:val="20"/>
          <w:szCs w:val="20"/>
        </w:rPr>
        <w:t xml:space="preserve"> dispose de la faculté de prendre à ce titre des mesures de limitation du fonctionnement compatibles avec la sécurité des </w:t>
      </w:r>
      <w:r>
        <w:rPr>
          <w:rFonts w:ascii="Titillium" w:hAnsi="Titillium"/>
          <w:sz w:val="20"/>
          <w:szCs w:val="20"/>
        </w:rPr>
        <w:t>usagers</w:t>
      </w:r>
      <w:r w:rsidR="00CF5620">
        <w:rPr>
          <w:rFonts w:ascii="Titillium" w:hAnsi="Titillium"/>
          <w:sz w:val="20"/>
          <w:szCs w:val="20"/>
        </w:rPr>
        <w:t xml:space="preserve"> de la voierie, le bon déroulement du trafic et la protection des biens et des personnes. </w:t>
      </w:r>
    </w:p>
    <w:p w14:paraId="0F05D222" w14:textId="77777777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113F7C6B" w14:textId="2BA93F83" w:rsidR="00CF5620" w:rsidRDefault="00816B6D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Dans ces conditions,</w:t>
      </w:r>
      <w:r w:rsidR="0096233B">
        <w:rPr>
          <w:rFonts w:ascii="Titillium" w:hAnsi="Titillium"/>
          <w:sz w:val="20"/>
          <w:szCs w:val="20"/>
        </w:rPr>
        <w:t xml:space="preserve"> il conviendrait de </w:t>
      </w:r>
      <w:r w:rsidR="00CF5620">
        <w:rPr>
          <w:rFonts w:ascii="Titillium" w:hAnsi="Titillium"/>
          <w:sz w:val="20"/>
          <w:szCs w:val="20"/>
        </w:rPr>
        <w:t xml:space="preserve">solliciter ENERGIE Eure-et-Loir en tant qu’exploitant </w:t>
      </w:r>
      <w:r>
        <w:rPr>
          <w:rFonts w:ascii="Titillium" w:hAnsi="Titillium"/>
          <w:sz w:val="20"/>
          <w:szCs w:val="20"/>
        </w:rPr>
        <w:t>du</w:t>
      </w:r>
      <w:r w:rsidR="00CF5620">
        <w:rPr>
          <w:rFonts w:ascii="Titillium" w:hAnsi="Titillium"/>
          <w:sz w:val="20"/>
          <w:szCs w:val="20"/>
        </w:rPr>
        <w:t xml:space="preserve"> réseau d’éclairage public pour étudier les possibilités techniques </w:t>
      </w:r>
      <w:r>
        <w:rPr>
          <w:rFonts w:ascii="Titillium" w:hAnsi="Titillium"/>
          <w:sz w:val="20"/>
          <w:szCs w:val="20"/>
        </w:rPr>
        <w:t xml:space="preserve">de mise en </w:t>
      </w:r>
      <w:r w:rsidR="0096233B">
        <w:rPr>
          <w:rFonts w:ascii="Titillium" w:hAnsi="Titillium"/>
          <w:sz w:val="20"/>
          <w:szCs w:val="20"/>
        </w:rPr>
        <w:t xml:space="preserve">œuvre </w:t>
      </w:r>
      <w:r>
        <w:rPr>
          <w:rFonts w:ascii="Titillium" w:hAnsi="Titillium"/>
          <w:sz w:val="20"/>
          <w:szCs w:val="20"/>
        </w:rPr>
        <w:t xml:space="preserve">de cette mesure </w:t>
      </w:r>
      <w:r w:rsidR="00CF5620">
        <w:rPr>
          <w:rFonts w:ascii="Titillium" w:hAnsi="Titillium"/>
          <w:sz w:val="20"/>
          <w:szCs w:val="20"/>
        </w:rPr>
        <w:t>et le cas échéant les adaptations nécessaires.</w:t>
      </w:r>
      <w:r>
        <w:rPr>
          <w:rFonts w:ascii="Titillium" w:hAnsi="Titillium"/>
          <w:sz w:val="20"/>
          <w:szCs w:val="20"/>
        </w:rPr>
        <w:t xml:space="preserve"> </w:t>
      </w:r>
      <w:r w:rsidR="00CF5620">
        <w:rPr>
          <w:rFonts w:ascii="Titillium" w:hAnsi="Titillium"/>
          <w:sz w:val="20"/>
          <w:szCs w:val="20"/>
        </w:rPr>
        <w:t>En période de fêtes ou d’évènements particuliers, l’éclairage public pourra</w:t>
      </w:r>
      <w:r>
        <w:rPr>
          <w:rFonts w:ascii="Titillium" w:hAnsi="Titillium"/>
          <w:sz w:val="20"/>
          <w:szCs w:val="20"/>
        </w:rPr>
        <w:t>it aussi</w:t>
      </w:r>
      <w:r w:rsidR="00CF5620">
        <w:rPr>
          <w:rFonts w:ascii="Titillium" w:hAnsi="Titillium"/>
          <w:sz w:val="20"/>
          <w:szCs w:val="20"/>
        </w:rPr>
        <w:t xml:space="preserve"> être maintenu tout ou partie de la nuit.</w:t>
      </w:r>
    </w:p>
    <w:p w14:paraId="58B4EAF5" w14:textId="77777777" w:rsidR="00CF5620" w:rsidRDefault="00CF5620" w:rsidP="00CF5620">
      <w:pPr>
        <w:ind w:left="142" w:right="278"/>
        <w:jc w:val="both"/>
        <w:rPr>
          <w:rFonts w:ascii="Titillium" w:hAnsi="Titillium"/>
          <w:sz w:val="20"/>
          <w:szCs w:val="20"/>
        </w:rPr>
      </w:pPr>
    </w:p>
    <w:p w14:paraId="28C22E62" w14:textId="16F63DC3" w:rsidR="00CF5620" w:rsidRDefault="00816B6D" w:rsidP="00CF5620">
      <w:pPr>
        <w:spacing w:after="120"/>
        <w:ind w:left="142"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Ainsi</w:t>
      </w:r>
      <w:r w:rsidR="00CF5620">
        <w:rPr>
          <w:rFonts w:ascii="Titillium" w:hAnsi="Titillium"/>
          <w:sz w:val="20"/>
          <w:szCs w:val="20"/>
        </w:rPr>
        <w:t>, après en avoir délibéré</w:t>
      </w:r>
      <w:r>
        <w:rPr>
          <w:rFonts w:ascii="Titillium" w:hAnsi="Titillium"/>
          <w:sz w:val="20"/>
          <w:szCs w:val="20"/>
        </w:rPr>
        <w:t>, le Conseil municipal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Titillium" w:hAnsi="Titillium"/>
          <w:sz w:val="20"/>
          <w:szCs w:val="20"/>
        </w:rPr>
        <w:t>:</w:t>
      </w:r>
      <w:r w:rsidR="00CF5620">
        <w:rPr>
          <w:rFonts w:ascii="Titillium" w:hAnsi="Titillium"/>
          <w:sz w:val="20"/>
          <w:szCs w:val="20"/>
        </w:rPr>
        <w:t xml:space="preserve"> </w:t>
      </w:r>
    </w:p>
    <w:p w14:paraId="3C7A1B53" w14:textId="4B88F1DA" w:rsidR="00CF5620" w:rsidRDefault="00CF5620" w:rsidP="00CF5620">
      <w:pPr>
        <w:pStyle w:val="Paragraphedeliste"/>
        <w:numPr>
          <w:ilvl w:val="0"/>
          <w:numId w:val="1"/>
        </w:numPr>
        <w:spacing w:after="120"/>
        <w:ind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SE PRONONCE en faveur du principe d’interruption de l’éclairage public sur le territoire communal,</w:t>
      </w:r>
    </w:p>
    <w:p w14:paraId="3377220F" w14:textId="7FD9B791" w:rsidR="00CF5620" w:rsidRDefault="00CF5620" w:rsidP="00CF5620">
      <w:pPr>
        <w:pStyle w:val="Paragraphedeliste"/>
        <w:numPr>
          <w:ilvl w:val="0"/>
          <w:numId w:val="1"/>
        </w:numPr>
        <w:spacing w:after="120"/>
        <w:ind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CHARGE Madame/Monsieur le Maire de solliciter ENERGIE Eure-et-Loir en tant qu’exploitant du réseau d’éclairage public pour l’étude technique </w:t>
      </w:r>
      <w:r w:rsidR="00816B6D">
        <w:rPr>
          <w:rFonts w:ascii="Titillium" w:hAnsi="Titillium"/>
          <w:sz w:val="20"/>
          <w:szCs w:val="20"/>
        </w:rPr>
        <w:t xml:space="preserve">de cette mesure </w:t>
      </w:r>
      <w:r>
        <w:rPr>
          <w:rFonts w:ascii="Titillium" w:hAnsi="Titillium"/>
          <w:sz w:val="20"/>
          <w:szCs w:val="20"/>
        </w:rPr>
        <w:t xml:space="preserve">et </w:t>
      </w:r>
      <w:r w:rsidR="00816B6D">
        <w:rPr>
          <w:rFonts w:ascii="Titillium" w:hAnsi="Titillium"/>
          <w:sz w:val="20"/>
          <w:szCs w:val="20"/>
        </w:rPr>
        <w:t>sa</w:t>
      </w:r>
      <w:r>
        <w:rPr>
          <w:rFonts w:ascii="Titillium" w:hAnsi="Titillium"/>
          <w:sz w:val="20"/>
          <w:szCs w:val="20"/>
        </w:rPr>
        <w:t xml:space="preserve"> mise en œuvre,</w:t>
      </w:r>
    </w:p>
    <w:p w14:paraId="7C626A4B" w14:textId="3C4670BD" w:rsidR="00CF5620" w:rsidRDefault="00CF5620" w:rsidP="00CF5620">
      <w:pPr>
        <w:pStyle w:val="Paragraphedeliste"/>
        <w:numPr>
          <w:ilvl w:val="0"/>
          <w:numId w:val="1"/>
        </w:numPr>
        <w:spacing w:after="120"/>
        <w:ind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CHARGE Madame/Monsieur le Maire </w:t>
      </w:r>
      <w:r w:rsidR="0096233B">
        <w:rPr>
          <w:rFonts w:ascii="Titillium" w:hAnsi="Titillium"/>
          <w:sz w:val="20"/>
          <w:szCs w:val="20"/>
        </w:rPr>
        <w:t xml:space="preserve">à l’issue de cette étude </w:t>
      </w:r>
      <w:r>
        <w:rPr>
          <w:rFonts w:ascii="Titillium" w:hAnsi="Titillium"/>
          <w:sz w:val="20"/>
          <w:szCs w:val="20"/>
        </w:rPr>
        <w:t>de prendre les arrêtés précisant les modalités d’application de cette mesure et en particulier les lieux concernés et les horaires d’extinction,</w:t>
      </w:r>
    </w:p>
    <w:p w14:paraId="6694BF12" w14:textId="0CE69686" w:rsidR="00CF5620" w:rsidRDefault="00CF5620" w:rsidP="00CF5620">
      <w:pPr>
        <w:pStyle w:val="Paragraphedeliste"/>
        <w:numPr>
          <w:ilvl w:val="0"/>
          <w:numId w:val="1"/>
        </w:numPr>
        <w:spacing w:after="120"/>
        <w:ind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CHARGE Madame/Monsieur le Maire </w:t>
      </w:r>
      <w:r w:rsidR="0096233B">
        <w:rPr>
          <w:rFonts w:ascii="Titillium" w:hAnsi="Titillium"/>
          <w:sz w:val="20"/>
          <w:szCs w:val="20"/>
        </w:rPr>
        <w:t xml:space="preserve">de prendre </w:t>
      </w:r>
      <w:r w:rsidR="00816B6D">
        <w:rPr>
          <w:rFonts w:ascii="Titillium" w:hAnsi="Titillium"/>
          <w:sz w:val="20"/>
          <w:szCs w:val="20"/>
        </w:rPr>
        <w:t>toutes</w:t>
      </w:r>
      <w:r>
        <w:rPr>
          <w:rFonts w:ascii="Titillium" w:hAnsi="Titillium"/>
          <w:sz w:val="20"/>
          <w:szCs w:val="20"/>
        </w:rPr>
        <w:t xml:space="preserve"> les mesures d’information de la population</w:t>
      </w:r>
      <w:r w:rsidR="0096233B">
        <w:rPr>
          <w:rFonts w:ascii="Titillium" w:hAnsi="Titillium"/>
          <w:sz w:val="20"/>
          <w:szCs w:val="20"/>
        </w:rPr>
        <w:t>.</w:t>
      </w:r>
    </w:p>
    <w:p w14:paraId="7373113E" w14:textId="276FD3FB" w:rsidR="00CF5620" w:rsidRDefault="00CF5620" w:rsidP="00CF5620">
      <w:pPr>
        <w:ind w:left="127" w:right="278"/>
        <w:jc w:val="both"/>
        <w:rPr>
          <w:rFonts w:ascii="Titillium" w:hAnsi="Titillium"/>
          <w:sz w:val="10"/>
          <w:szCs w:val="10"/>
        </w:rPr>
      </w:pPr>
    </w:p>
    <w:p w14:paraId="0824193B" w14:textId="77777777" w:rsidR="00CF5620" w:rsidRPr="00BB1127" w:rsidRDefault="00CF5620" w:rsidP="00CF5620">
      <w:pPr>
        <w:ind w:left="127" w:right="278"/>
        <w:jc w:val="both"/>
        <w:rPr>
          <w:rFonts w:ascii="Titillium" w:hAnsi="Titillium"/>
          <w:sz w:val="10"/>
          <w:szCs w:val="10"/>
        </w:rPr>
      </w:pPr>
    </w:p>
    <w:p w14:paraId="20697375" w14:textId="77777777" w:rsidR="00CF5620" w:rsidRDefault="00CF5620" w:rsidP="00CF5620">
      <w:pPr>
        <w:ind w:left="127" w:right="278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Le Maire</w:t>
      </w:r>
    </w:p>
    <w:p w14:paraId="1881E64B" w14:textId="77777777" w:rsidR="00DC213F" w:rsidRDefault="00DC213F"/>
    <w:sectPr w:rsidR="00D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088"/>
    <w:multiLevelType w:val="hybridMultilevel"/>
    <w:tmpl w:val="A84CEB9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25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20"/>
    <w:rsid w:val="00207479"/>
    <w:rsid w:val="003B056C"/>
    <w:rsid w:val="00816B6D"/>
    <w:rsid w:val="0096233B"/>
    <w:rsid w:val="00CF5620"/>
    <w:rsid w:val="00D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477"/>
  <w15:chartTrackingRefBased/>
  <w15:docId w15:val="{8D5057A9-33D1-4CBD-B66A-9E791FC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MARTIN</dc:creator>
  <cp:keywords/>
  <dc:description/>
  <cp:lastModifiedBy>Natacha MARTIN</cp:lastModifiedBy>
  <cp:revision>3</cp:revision>
  <cp:lastPrinted>2022-09-01T15:48:00Z</cp:lastPrinted>
  <dcterms:created xsi:type="dcterms:W3CDTF">2022-09-01T15:45:00Z</dcterms:created>
  <dcterms:modified xsi:type="dcterms:W3CDTF">2022-09-05T08:07:00Z</dcterms:modified>
</cp:coreProperties>
</file>